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8726" w14:textId="32AAC8E9"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r w:rsidR="00575F86">
        <w:rPr>
          <w:rFonts w:eastAsia="Times New Roman"/>
          <w:lang w:eastAsia="en-NZ"/>
        </w:rPr>
        <w:t xml:space="preserve">Upper </w:t>
      </w:r>
      <w:proofErr w:type="spellStart"/>
      <w:r w:rsidR="00575F86">
        <w:rPr>
          <w:rFonts w:eastAsia="Times New Roman"/>
          <w:lang w:eastAsia="en-NZ"/>
        </w:rPr>
        <w:t>Mokau-Mangapehi</w:t>
      </w:r>
      <w:proofErr w:type="spellEnd"/>
      <w:r w:rsidR="00052C8B">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212"/>
        <w:gridCol w:w="1612"/>
      </w:tblGrid>
      <w:tr w:rsidR="00052C8B" w:rsidRPr="0030380D" w14:paraId="24BF20AA" w14:textId="4A35AAF1" w:rsidTr="002B6CD9">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2212" w:type="dxa"/>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1612" w:type="dxa"/>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2B6CD9">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KCRC Sites:</w:t>
            </w:r>
          </w:p>
          <w:p w14:paraId="7FDA2A25" w14:textId="77777777" w:rsidR="00575F86" w:rsidRPr="00575F86" w:rsidRDefault="00575F86" w:rsidP="00575F86">
            <w:pPr>
              <w:spacing w:after="0" w:line="240" w:lineRule="auto"/>
              <w:rPr>
                <w:rFonts w:ascii="Calibri Light" w:eastAsia="Times New Roman" w:hAnsi="Calibri Light" w:cs="Calibri Light"/>
                <w:color w:val="000000"/>
                <w:sz w:val="20"/>
                <w:szCs w:val="20"/>
                <w:lang w:eastAsia="en-NZ"/>
              </w:rPr>
            </w:pPr>
            <w:r w:rsidRPr="00575F86">
              <w:rPr>
                <w:rFonts w:ascii="Calibri Light" w:eastAsia="Times New Roman" w:hAnsi="Calibri Light" w:cs="Calibri Light"/>
                <w:color w:val="000000"/>
                <w:sz w:val="20"/>
                <w:szCs w:val="20"/>
                <w:lang w:eastAsia="en-NZ"/>
              </w:rPr>
              <w:t>13-Mokau R. HWY 4</w:t>
            </w:r>
          </w:p>
          <w:p w14:paraId="6F8FB9EF" w14:textId="77777777" w:rsidR="00575F86" w:rsidRPr="00575F86" w:rsidRDefault="00575F86" w:rsidP="00575F86">
            <w:pPr>
              <w:spacing w:after="0" w:line="240" w:lineRule="auto"/>
              <w:rPr>
                <w:rFonts w:ascii="Calibri Light" w:eastAsia="Times New Roman" w:hAnsi="Calibri Light" w:cs="Calibri Light"/>
                <w:color w:val="000000"/>
                <w:sz w:val="20"/>
                <w:szCs w:val="20"/>
                <w:lang w:eastAsia="en-NZ"/>
              </w:rPr>
            </w:pPr>
            <w:r w:rsidRPr="00575F86">
              <w:rPr>
                <w:rFonts w:ascii="Calibri Light" w:eastAsia="Times New Roman" w:hAnsi="Calibri Light" w:cs="Calibri Light"/>
                <w:color w:val="000000"/>
                <w:sz w:val="20"/>
                <w:szCs w:val="20"/>
                <w:lang w:eastAsia="en-NZ"/>
              </w:rPr>
              <w:t>14-Mangapehi R. HWY 4</w:t>
            </w:r>
          </w:p>
          <w:p w14:paraId="77DD069F" w14:textId="77777777" w:rsidR="00575F86" w:rsidRPr="00575F86" w:rsidRDefault="00575F86" w:rsidP="00575F86">
            <w:pPr>
              <w:spacing w:after="0" w:line="240" w:lineRule="auto"/>
              <w:rPr>
                <w:rFonts w:ascii="Calibri Light" w:eastAsia="Times New Roman" w:hAnsi="Calibri Light" w:cs="Calibri Light"/>
                <w:color w:val="000000"/>
                <w:sz w:val="20"/>
                <w:szCs w:val="20"/>
                <w:lang w:eastAsia="en-NZ"/>
              </w:rPr>
            </w:pPr>
            <w:r w:rsidRPr="00575F86">
              <w:rPr>
                <w:rFonts w:ascii="Calibri Light" w:eastAsia="Times New Roman" w:hAnsi="Calibri Light" w:cs="Calibri Light"/>
                <w:color w:val="000000"/>
                <w:sz w:val="20"/>
                <w:szCs w:val="20"/>
                <w:lang w:eastAsia="en-NZ"/>
              </w:rPr>
              <w:t xml:space="preserve">17-Paritikona </w:t>
            </w:r>
            <w:proofErr w:type="spellStart"/>
            <w:r w:rsidRPr="00575F86">
              <w:rPr>
                <w:rFonts w:ascii="Calibri Light" w:eastAsia="Times New Roman" w:hAnsi="Calibri Light" w:cs="Calibri Light"/>
                <w:color w:val="000000"/>
                <w:sz w:val="20"/>
                <w:szCs w:val="20"/>
                <w:lang w:eastAsia="en-NZ"/>
              </w:rPr>
              <w:t>Stm</w:t>
            </w:r>
            <w:proofErr w:type="spellEnd"/>
          </w:p>
          <w:p w14:paraId="129183EF" w14:textId="75540B41" w:rsidR="00052C8B" w:rsidRPr="000857A5" w:rsidRDefault="00575F86" w:rsidP="00575F86">
            <w:pPr>
              <w:spacing w:after="0" w:line="240" w:lineRule="auto"/>
              <w:rPr>
                <w:rFonts w:ascii="Calibri Light" w:eastAsia="Times New Roman" w:hAnsi="Calibri Light" w:cs="Calibri Light"/>
                <w:color w:val="000000"/>
                <w:sz w:val="20"/>
                <w:szCs w:val="20"/>
                <w:lang w:eastAsia="en-NZ"/>
              </w:rPr>
            </w:pPr>
            <w:r w:rsidRPr="00575F86">
              <w:rPr>
                <w:rFonts w:ascii="Calibri Light" w:eastAsia="Times New Roman" w:hAnsi="Calibri Light" w:cs="Calibri Light"/>
                <w:color w:val="000000"/>
                <w:sz w:val="20"/>
                <w:szCs w:val="20"/>
                <w:lang w:eastAsia="en-NZ"/>
              </w:rPr>
              <w:t>18-Mangapehi R.</w:t>
            </w:r>
          </w:p>
        </w:tc>
        <w:tc>
          <w:tcPr>
            <w:tcW w:w="2212" w:type="dxa"/>
            <w:vAlign w:val="center"/>
          </w:tcPr>
          <w:p w14:paraId="6C98D526" w14:textId="26602D86" w:rsidR="00052C8B" w:rsidRDefault="00052C8B" w:rsidP="00087F7F">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1612" w:type="dxa"/>
            <w:vAlign w:val="center"/>
          </w:tcPr>
          <w:p w14:paraId="6EA046A2" w14:textId="4E0D98FD" w:rsidR="00052C8B" w:rsidRPr="0030380D" w:rsidRDefault="0012527A"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12</w:t>
            </w:r>
          </w:p>
        </w:tc>
      </w:tr>
      <w:tr w:rsidR="00052C8B" w:rsidRPr="0030380D" w14:paraId="6E3738C3" w14:textId="66A07684" w:rsidTr="002B6CD9">
        <w:trPr>
          <w:trHeight w:val="870"/>
        </w:trPr>
        <w:tc>
          <w:tcPr>
            <w:tcW w:w="0" w:type="auto"/>
            <w:shd w:val="clear" w:color="auto" w:fill="auto"/>
            <w:noWrap/>
            <w:vAlign w:val="center"/>
            <w:hideMark/>
          </w:tcPr>
          <w:p w14:paraId="67B48255"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p>
          <w:p w14:paraId="12F8F1C4" w14:textId="7C2F6053" w:rsidR="00052C8B" w:rsidRPr="0030380D" w:rsidRDefault="00575F86" w:rsidP="00CC33A8">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sidRPr="00575F86">
              <w:rPr>
                <w:rFonts w:ascii="Calibri Light" w:eastAsia="Times New Roman" w:hAnsi="Calibri Light" w:cs="Calibri Light"/>
                <w:color w:val="000000"/>
                <w:sz w:val="20"/>
                <w:szCs w:val="20"/>
                <w:lang w:eastAsia="en-NZ"/>
              </w:rPr>
              <w:t>Mangaokewa Rd (Off SH30)</w:t>
            </w:r>
          </w:p>
        </w:tc>
        <w:tc>
          <w:tcPr>
            <w:tcW w:w="2212" w:type="dxa"/>
            <w:vAlign w:val="center"/>
          </w:tcPr>
          <w:p w14:paraId="368A9EB1" w14:textId="62710AFE" w:rsidR="00052C8B" w:rsidRDefault="00575F86" w:rsidP="00575F86">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Monthly sampling</w:t>
            </w:r>
          </w:p>
        </w:tc>
        <w:tc>
          <w:tcPr>
            <w:tcW w:w="1612" w:type="dxa"/>
            <w:vAlign w:val="center"/>
          </w:tcPr>
          <w:p w14:paraId="35DCAF20" w14:textId="0B5FFAE1" w:rsidR="00052C8B" w:rsidRPr="0030380D" w:rsidRDefault="00575F86"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12</w:t>
            </w:r>
          </w:p>
        </w:tc>
      </w:tr>
      <w:tr w:rsidR="00052C8B" w:rsidRPr="0030380D" w14:paraId="627A5DE8" w14:textId="64457210" w:rsidTr="002B6CD9">
        <w:trPr>
          <w:trHeight w:val="870"/>
        </w:trPr>
        <w:tc>
          <w:tcPr>
            <w:tcW w:w="5002" w:type="dxa"/>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1612" w:type="dxa"/>
            <w:vAlign w:val="center"/>
          </w:tcPr>
          <w:p w14:paraId="7F1BA448" w14:textId="1BE3CE31" w:rsidR="00052C8B" w:rsidRPr="00052C8B" w:rsidRDefault="00575F86" w:rsidP="00306FB9">
            <w:pPr>
              <w:spacing w:after="0" w:line="240" w:lineRule="auto"/>
              <w:jc w:val="cente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24</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52"/>
        <w:gridCol w:w="6112"/>
      </w:tblGrid>
      <w:tr w:rsidR="00815A2A" w:rsidRPr="0030380D" w14:paraId="3DBFE576" w14:textId="77777777" w:rsidTr="00815A2A">
        <w:trPr>
          <w:trHeight w:val="370"/>
        </w:trPr>
        <w:tc>
          <w:tcPr>
            <w:tcW w:w="2689"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152" w:type="dxa"/>
            <w:tcBorders>
              <w:top w:val="single" w:sz="4" w:space="0" w:color="auto"/>
            </w:tcBorders>
            <w:shd w:val="clear" w:color="auto" w:fill="D9E2F3" w:themeFill="accent1" w:themeFillTint="33"/>
          </w:tcPr>
          <w:p w14:paraId="64A2E94E" w14:textId="7B4B5FBD"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b/>
                <w:bCs/>
                <w:color w:val="000000"/>
                <w:sz w:val="20"/>
                <w:szCs w:val="20"/>
                <w:lang w:eastAsia="en-NZ"/>
              </w:rPr>
              <w:t>&amp; the National Bottom Line (NBL)</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5A2A">
        <w:trPr>
          <w:trHeight w:val="870"/>
        </w:trPr>
        <w:tc>
          <w:tcPr>
            <w:tcW w:w="2689" w:type="dxa"/>
            <w:shd w:val="clear" w:color="auto" w:fill="auto"/>
            <w:vAlign w:val="center"/>
          </w:tcPr>
          <w:p w14:paraId="12789E2F" w14:textId="666E1B16"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00264FA0">
              <w:rPr>
                <w:rFonts w:ascii="Calibri Light" w:eastAsia="Times New Roman" w:hAnsi="Calibri Light" w:cs="Calibri Light"/>
                <w:b/>
                <w:bCs/>
                <w:color w:val="000000"/>
                <w:sz w:val="20"/>
                <w:szCs w:val="20"/>
                <w:lang w:eastAsia="en-NZ"/>
              </w:rPr>
              <w:t xml:space="preserve"> </w:t>
            </w:r>
            <w:r w:rsidR="00264FA0" w:rsidRPr="00264FA0">
              <w:rPr>
                <w:rFonts w:ascii="Calibri Light" w:eastAsia="Times New Roman" w:hAnsi="Calibri Light" w:cs="Calibri Light"/>
                <w:color w:val="000000"/>
                <w:sz w:val="20"/>
                <w:szCs w:val="20"/>
                <w:lang w:eastAsia="en-NZ"/>
              </w:rPr>
              <w:t>is</w:t>
            </w:r>
            <w:r>
              <w:rPr>
                <w:rFonts w:ascii="Calibri Light" w:eastAsia="Times New Roman" w:hAnsi="Calibri Light" w:cs="Calibri Light"/>
                <w:color w:val="000000"/>
                <w:sz w:val="20"/>
                <w:szCs w:val="20"/>
                <w:lang w:eastAsia="en-NZ"/>
              </w:rPr>
              <w:t xml:space="preserve"> the main</w:t>
            </w:r>
            <w:r w:rsidRPr="0030380D">
              <w:rPr>
                <w:rFonts w:ascii="Calibri Light" w:eastAsia="Times New Roman" w:hAnsi="Calibri Light" w:cs="Calibri Light"/>
                <w:color w:val="000000"/>
                <w:sz w:val="20"/>
                <w:szCs w:val="20"/>
                <w:lang w:eastAsia="en-NZ"/>
              </w:rPr>
              <w:t xml:space="preserve"> contaminants of concern. </w:t>
            </w:r>
          </w:p>
          <w:p w14:paraId="4EF025FD" w14:textId="4D911260"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517AD134" w14:textId="22FBB133" w:rsidR="00AF6F6A" w:rsidRDefault="00AF6F6A"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Dissolved Reactive </w:t>
            </w:r>
            <w:proofErr w:type="spellStart"/>
            <w:r>
              <w:rPr>
                <w:rFonts w:ascii="Calibri Light" w:eastAsia="Times New Roman" w:hAnsi="Calibri Light" w:cs="Calibri Light"/>
                <w:b/>
                <w:bCs/>
                <w:color w:val="000000"/>
                <w:sz w:val="20"/>
                <w:szCs w:val="20"/>
                <w:lang w:eastAsia="en-NZ"/>
              </w:rPr>
              <w:t>Phosphorus</w:t>
            </w:r>
            <w:r>
              <w:rPr>
                <w:rFonts w:ascii="Calibri Light" w:eastAsia="Times New Roman" w:hAnsi="Calibri Light" w:cs="Calibri Light"/>
                <w:b/>
                <w:bCs/>
                <w:color w:val="000000"/>
                <w:sz w:val="20"/>
                <w:szCs w:val="20"/>
                <w:vertAlign w:val="superscript"/>
                <w:lang w:eastAsia="en-NZ"/>
              </w:rPr>
              <w:t>ɞ</w:t>
            </w:r>
            <w:proofErr w:type="spellEnd"/>
            <w:r>
              <w:rPr>
                <w:rFonts w:ascii="Calibri Light" w:eastAsia="Times New Roman" w:hAnsi="Calibri Light" w:cs="Calibri Light"/>
                <w:b/>
                <w:bCs/>
                <w:color w:val="000000"/>
                <w:sz w:val="20"/>
                <w:szCs w:val="20"/>
                <w:vertAlign w:val="superscript"/>
                <w:lang w:eastAsia="en-NZ"/>
              </w:rPr>
              <w:t xml:space="preserve"> </w:t>
            </w:r>
            <w:r>
              <w:rPr>
                <w:rFonts w:ascii="Calibri Light" w:eastAsia="Times New Roman" w:hAnsi="Calibri Light" w:cs="Calibri Light"/>
                <w:color w:val="000000"/>
                <w:sz w:val="20"/>
                <w:szCs w:val="20"/>
                <w:lang w:eastAsia="en-NZ"/>
              </w:rPr>
              <w:t xml:space="preserve">is elevated </w:t>
            </w:r>
            <w:r w:rsidR="00264FA0">
              <w:rPr>
                <w:rFonts w:ascii="Calibri Light" w:eastAsia="Times New Roman" w:hAnsi="Calibri Light" w:cs="Calibri Light"/>
                <w:color w:val="000000"/>
                <w:sz w:val="20"/>
                <w:szCs w:val="20"/>
                <w:lang w:eastAsia="en-NZ"/>
              </w:rPr>
              <w:t>at Mangaokewa Rd – WRC site.</w:t>
            </w:r>
          </w:p>
          <w:p w14:paraId="2CC9B111" w14:textId="77777777" w:rsidR="00264FA0" w:rsidRPr="00AF6F6A" w:rsidRDefault="00264FA0" w:rsidP="000A7AA5">
            <w:pPr>
              <w:spacing w:after="0" w:line="240" w:lineRule="auto"/>
              <w:rPr>
                <w:rFonts w:ascii="Calibri Light" w:eastAsia="Times New Roman" w:hAnsi="Calibri Light" w:cs="Calibri Light"/>
                <w:color w:val="000000"/>
                <w:sz w:val="20"/>
                <w:szCs w:val="20"/>
                <w:lang w:eastAsia="en-NZ"/>
              </w:rPr>
            </w:pPr>
          </w:p>
          <w:p w14:paraId="361EDDEC" w14:textId="77777777" w:rsidR="00264FA0" w:rsidRPr="00264FA0" w:rsidRDefault="00815A2A" w:rsidP="00264FA0">
            <w:pPr>
              <w:spacing w:after="0" w:line="240" w:lineRule="auto"/>
              <w:rPr>
                <w:rFonts w:ascii="Calibri Light" w:eastAsia="Times New Roman" w:hAnsi="Calibri Light" w:cs="Calibri Light"/>
                <w:b/>
                <w:bCs/>
                <w:color w:val="000000"/>
                <w:sz w:val="20"/>
                <w:szCs w:val="20"/>
                <w:lang w:eastAsia="en-NZ"/>
              </w:rPr>
            </w:pPr>
            <w:r w:rsidRPr="00A266F3">
              <w:rPr>
                <w:rFonts w:ascii="Calibri Light" w:eastAsia="Times New Roman" w:hAnsi="Calibri Light" w:cs="Calibri Light"/>
                <w:b/>
                <w:bCs/>
                <w:color w:val="000000"/>
                <w:sz w:val="20"/>
                <w:szCs w:val="20"/>
                <w:lang w:eastAsia="en-NZ"/>
              </w:rPr>
              <w:t>S</w:t>
            </w:r>
            <w:r w:rsidR="00B47852" w:rsidRPr="00A266F3">
              <w:rPr>
                <w:rFonts w:ascii="Calibri Light" w:eastAsia="Times New Roman" w:hAnsi="Calibri Light" w:cs="Calibri Light"/>
                <w:b/>
                <w:bCs/>
                <w:color w:val="000000"/>
                <w:sz w:val="20"/>
                <w:szCs w:val="20"/>
                <w:lang w:eastAsia="en-NZ"/>
              </w:rPr>
              <w:t>ite</w:t>
            </w:r>
            <w:r w:rsidR="00B47852" w:rsidRPr="00815A2A">
              <w:rPr>
                <w:rFonts w:ascii="Calibri Light" w:eastAsia="Times New Roman" w:hAnsi="Calibri Light" w:cs="Calibri Light"/>
                <w:b/>
                <w:bCs/>
                <w:color w:val="000000"/>
                <w:sz w:val="20"/>
                <w:szCs w:val="20"/>
                <w:lang w:eastAsia="en-NZ"/>
              </w:rPr>
              <w:t xml:space="preserve"> </w:t>
            </w:r>
            <w:r w:rsidR="00264FA0" w:rsidRPr="00264FA0">
              <w:rPr>
                <w:rFonts w:ascii="Calibri Light" w:eastAsia="Times New Roman" w:hAnsi="Calibri Light" w:cs="Calibri Light"/>
                <w:b/>
                <w:bCs/>
                <w:color w:val="000000"/>
                <w:sz w:val="20"/>
                <w:szCs w:val="20"/>
                <w:lang w:eastAsia="en-NZ"/>
              </w:rPr>
              <w:t>13-Mokau R. HWY 4</w:t>
            </w:r>
          </w:p>
          <w:p w14:paraId="1A9FFFB2" w14:textId="734444EB"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color w:val="000000"/>
                <w:sz w:val="20"/>
                <w:szCs w:val="20"/>
                <w:lang w:eastAsia="en-NZ"/>
              </w:rPr>
              <w:t xml:space="preserve">had the best water quality </w:t>
            </w:r>
            <w:r w:rsidR="00815A2A">
              <w:rPr>
                <w:rFonts w:ascii="Calibri Light" w:eastAsia="Times New Roman" w:hAnsi="Calibri Light" w:cs="Calibri Light"/>
                <w:b/>
                <w:bCs/>
                <w:color w:val="000000"/>
                <w:sz w:val="20"/>
                <w:szCs w:val="20"/>
                <w:lang w:eastAsia="en-NZ"/>
              </w:rPr>
              <w:t xml:space="preserve">and </w:t>
            </w:r>
            <w:r w:rsidR="00264FA0">
              <w:rPr>
                <w:rFonts w:ascii="Calibri Light" w:eastAsia="Times New Roman" w:hAnsi="Calibri Light" w:cs="Calibri Light"/>
                <w:b/>
                <w:bCs/>
                <w:color w:val="000000"/>
                <w:sz w:val="20"/>
                <w:szCs w:val="20"/>
                <w:lang w:eastAsia="en-NZ"/>
              </w:rPr>
              <w:t>Mangaokewa Rd</w:t>
            </w:r>
            <w:r w:rsidR="00815A2A" w:rsidRPr="0012527A">
              <w:rPr>
                <w:rFonts w:ascii="Calibri Light" w:eastAsia="Times New Roman" w:hAnsi="Calibri Light" w:cs="Calibri Light"/>
                <w:b/>
                <w:bCs/>
                <w:color w:val="000000"/>
                <w:sz w:val="20"/>
                <w:szCs w:val="20"/>
                <w:lang w:eastAsia="en-NZ"/>
              </w:rPr>
              <w:t xml:space="preserve"> had the</w:t>
            </w:r>
            <w:r w:rsidR="00815A2A">
              <w:rPr>
                <w:rFonts w:ascii="Calibri Light" w:eastAsia="Times New Roman" w:hAnsi="Calibri Light" w:cs="Calibri Light"/>
                <w:b/>
                <w:bCs/>
                <w:color w:val="000000"/>
                <w:sz w:val="20"/>
                <w:szCs w:val="20"/>
                <w:lang w:eastAsia="en-NZ"/>
              </w:rPr>
              <w:t xml:space="preserve"> lowest water quality </w:t>
            </w:r>
            <w:r w:rsidRPr="007E4C33">
              <w:rPr>
                <w:rFonts w:ascii="Calibri Light" w:eastAsia="Times New Roman" w:hAnsi="Calibri Light" w:cs="Calibri Light"/>
                <w:b/>
                <w:bCs/>
                <w:color w:val="000000"/>
                <w:sz w:val="20"/>
                <w:szCs w:val="20"/>
                <w:lang w:eastAsia="en-NZ"/>
              </w:rPr>
              <w:t>in 2021</w:t>
            </w:r>
            <w:r>
              <w:rPr>
                <w:rFonts w:ascii="Calibri Light" w:eastAsia="Times New Roman" w:hAnsi="Calibri Light" w:cs="Calibri Light"/>
                <w:color w:val="000000"/>
                <w:sz w:val="20"/>
                <w:szCs w:val="20"/>
                <w:lang w:eastAsia="en-NZ"/>
              </w:rPr>
              <w:t xml:space="preserve">. </w:t>
            </w:r>
          </w:p>
        </w:tc>
        <w:tc>
          <w:tcPr>
            <w:tcW w:w="5152" w:type="dxa"/>
          </w:tcPr>
          <w:p w14:paraId="07211F51" w14:textId="0E37605C"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the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6A2FEE">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12527A">
              <w:rPr>
                <w:rFonts w:ascii="Calibri Light" w:eastAsia="Times New Roman" w:hAnsi="Calibri Light" w:cs="Calibri Light"/>
                <w:color w:val="000000"/>
                <w:sz w:val="20"/>
                <w:szCs w:val="20"/>
                <w:lang w:eastAsia="en-NZ"/>
              </w:rPr>
              <w:t>T</w:t>
            </w:r>
            <w:r w:rsidR="00264FA0">
              <w:rPr>
                <w:rFonts w:ascii="Calibri Light" w:eastAsia="Times New Roman" w:hAnsi="Calibri Light" w:cs="Calibri Light"/>
                <w:color w:val="000000"/>
                <w:sz w:val="20"/>
                <w:szCs w:val="20"/>
                <w:lang w:eastAsia="en-NZ"/>
              </w:rPr>
              <w:t xml:space="preserve">wo </w:t>
            </w:r>
            <w:r w:rsidR="0012527A">
              <w:rPr>
                <w:rFonts w:ascii="Calibri Light" w:eastAsia="Times New Roman" w:hAnsi="Calibri Light" w:cs="Calibri Light"/>
                <w:color w:val="000000"/>
                <w:sz w:val="20"/>
                <w:szCs w:val="20"/>
                <w:lang w:eastAsia="en-NZ"/>
              </w:rPr>
              <w:t>ou</w:t>
            </w:r>
            <w:r w:rsidR="00B25C67">
              <w:rPr>
                <w:rFonts w:ascii="Calibri Light" w:eastAsia="Times New Roman" w:hAnsi="Calibri Light" w:cs="Calibri Light"/>
                <w:color w:val="000000"/>
                <w:sz w:val="20"/>
                <w:szCs w:val="20"/>
                <w:lang w:eastAsia="en-NZ"/>
              </w:rPr>
              <w:t>t</w:t>
            </w:r>
            <w:r w:rsidR="0012527A">
              <w:rPr>
                <w:rFonts w:ascii="Calibri Light" w:eastAsia="Times New Roman" w:hAnsi="Calibri Light" w:cs="Calibri Light"/>
                <w:color w:val="000000"/>
                <w:sz w:val="20"/>
                <w:szCs w:val="20"/>
                <w:lang w:eastAsia="en-NZ"/>
              </w:rPr>
              <w:t xml:space="preserve"> of </w:t>
            </w:r>
            <w:r w:rsidR="00264FA0">
              <w:rPr>
                <w:rFonts w:ascii="Calibri Light" w:eastAsia="Times New Roman" w:hAnsi="Calibri Light" w:cs="Calibri Light"/>
                <w:color w:val="000000"/>
                <w:sz w:val="20"/>
                <w:szCs w:val="20"/>
                <w:lang w:eastAsia="en-NZ"/>
              </w:rPr>
              <w:t>five</w:t>
            </w:r>
            <w:r w:rsidR="0012527A">
              <w:rPr>
                <w:rFonts w:ascii="Calibri Light" w:eastAsia="Times New Roman" w:hAnsi="Calibri Light" w:cs="Calibri Light"/>
                <w:color w:val="000000"/>
                <w:sz w:val="20"/>
                <w:szCs w:val="20"/>
                <w:lang w:eastAsia="en-NZ"/>
              </w:rPr>
              <w:t xml:space="preserve"> sites</w:t>
            </w:r>
            <w:r>
              <w:rPr>
                <w:rFonts w:ascii="Calibri Light" w:eastAsia="Times New Roman" w:hAnsi="Calibri Light" w:cs="Calibri Light"/>
                <w:color w:val="000000"/>
                <w:sz w:val="20"/>
                <w:szCs w:val="20"/>
                <w:lang w:eastAsia="en-NZ"/>
              </w:rPr>
              <w:t xml:space="preserve"> monitored </w:t>
            </w:r>
            <w:r w:rsidR="006A2FEE">
              <w:rPr>
                <w:rFonts w:ascii="Calibri Light" w:eastAsia="Times New Roman" w:hAnsi="Calibri Light" w:cs="Calibri Light"/>
                <w:color w:val="000000"/>
                <w:sz w:val="20"/>
                <w:szCs w:val="20"/>
                <w:lang w:eastAsia="en-NZ"/>
              </w:rPr>
              <w:t>in</w:t>
            </w:r>
            <w:r>
              <w:rPr>
                <w:rFonts w:ascii="Calibri Light" w:eastAsia="Times New Roman" w:hAnsi="Calibri Light" w:cs="Calibri Light"/>
                <w:color w:val="000000"/>
                <w:sz w:val="20"/>
                <w:szCs w:val="20"/>
                <w:lang w:eastAsia="en-NZ"/>
              </w:rPr>
              <w:t xml:space="preserve"> 2021 </w:t>
            </w:r>
            <w:r w:rsidR="00264FA0">
              <w:rPr>
                <w:rFonts w:ascii="Calibri Light" w:eastAsia="Times New Roman" w:hAnsi="Calibri Light" w:cs="Calibri Light"/>
                <w:color w:val="000000"/>
                <w:sz w:val="20"/>
                <w:szCs w:val="20"/>
                <w:lang w:eastAsia="en-NZ"/>
              </w:rPr>
              <w:t xml:space="preserve">significantly </w:t>
            </w:r>
            <w:r>
              <w:rPr>
                <w:rFonts w:ascii="Calibri Light" w:eastAsia="Times New Roman" w:hAnsi="Calibri Light" w:cs="Calibri Light"/>
                <w:color w:val="000000"/>
                <w:sz w:val="20"/>
                <w:szCs w:val="20"/>
                <w:lang w:eastAsia="en-NZ"/>
              </w:rPr>
              <w:t>exceeded national limits</w:t>
            </w:r>
            <w:r w:rsidR="006830C6">
              <w:rPr>
                <w:rFonts w:ascii="Calibri Light" w:eastAsia="Times New Roman" w:hAnsi="Calibri Light" w:cs="Calibri Light"/>
                <w:color w:val="000000"/>
                <w:sz w:val="20"/>
                <w:szCs w:val="20"/>
                <w:lang w:eastAsia="en-NZ"/>
              </w:rPr>
              <w:t>.</w:t>
            </w:r>
            <w:r>
              <w:rPr>
                <w:rFonts w:ascii="Calibri Light" w:eastAsia="Times New Roman" w:hAnsi="Calibri Light" w:cs="Calibri Light"/>
                <w:color w:val="000000"/>
                <w:sz w:val="20"/>
                <w:szCs w:val="20"/>
                <w:lang w:eastAsia="en-NZ"/>
              </w:rPr>
              <w:t xml:space="preserve"> No sites exceeded the SC baseline for </w:t>
            </w:r>
            <w:r>
              <w:rPr>
                <w:rFonts w:ascii="Calibri Light" w:eastAsia="Times New Roman" w:hAnsi="Calibri Light" w:cs="Calibri Light"/>
                <w:i/>
                <w:iCs/>
                <w:color w:val="000000"/>
                <w:sz w:val="20"/>
                <w:szCs w:val="20"/>
                <w:lang w:eastAsia="en-NZ"/>
              </w:rPr>
              <w:t>E. coli</w:t>
            </w:r>
            <w:r>
              <w:rPr>
                <w:rFonts w:ascii="Calibri Light" w:eastAsia="Times New Roman" w:hAnsi="Calibri Light" w:cs="Calibri Light"/>
                <w:color w:val="000000"/>
                <w:sz w:val="20"/>
                <w:szCs w:val="20"/>
                <w:lang w:eastAsia="en-NZ"/>
              </w:rPr>
              <w:t>.</w:t>
            </w:r>
          </w:p>
          <w:p w14:paraId="1CBB1D20" w14:textId="35972253" w:rsidR="00B47852" w:rsidRDefault="00B47852" w:rsidP="000A7AA5">
            <w:pPr>
              <w:spacing w:after="0" w:line="240" w:lineRule="auto"/>
              <w:rPr>
                <w:rFonts w:ascii="Calibri Light" w:eastAsia="Times New Roman" w:hAnsi="Calibri Light" w:cs="Calibri Light"/>
                <w:b/>
                <w:bCs/>
                <w:color w:val="000000"/>
                <w:sz w:val="20"/>
                <w:szCs w:val="20"/>
                <w:lang w:eastAsia="en-NZ"/>
              </w:rPr>
            </w:pPr>
          </w:p>
          <w:p w14:paraId="6CDE7F3C" w14:textId="3FA02D59" w:rsidR="00264FA0" w:rsidRDefault="00264FA0" w:rsidP="00264FA0">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color w:val="000000"/>
                <w:sz w:val="20"/>
                <w:szCs w:val="20"/>
                <w:lang w:eastAsia="en-NZ"/>
              </w:rPr>
              <w:t>DRP –</w:t>
            </w:r>
            <w:r>
              <w:rPr>
                <w:rFonts w:ascii="Calibri Light" w:eastAsia="Times New Roman" w:hAnsi="Calibri Light" w:cs="Calibri Light"/>
                <w:b/>
                <w:bCs/>
                <w:color w:val="000000"/>
                <w:sz w:val="20"/>
                <w:szCs w:val="20"/>
                <w:lang w:eastAsia="en-NZ"/>
              </w:rPr>
              <w:t xml:space="preserve"> </w:t>
            </w:r>
            <w:r w:rsidRPr="0030380D">
              <w:rPr>
                <w:rFonts w:ascii="Calibri Light" w:eastAsia="Times New Roman" w:hAnsi="Calibri Light" w:cs="Calibri Light"/>
                <w:color w:val="000000"/>
                <w:sz w:val="20"/>
                <w:szCs w:val="20"/>
                <w:lang w:eastAsia="en-NZ"/>
              </w:rPr>
              <w:t>There is no NBL for DRP.</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 baseline </w:t>
            </w:r>
            <w:r>
              <w:rPr>
                <w:rFonts w:ascii="Calibri Light" w:eastAsia="Times New Roman" w:hAnsi="Calibri Light" w:cs="Calibri Light"/>
                <w:color w:val="000000"/>
                <w:sz w:val="20"/>
                <w:szCs w:val="20"/>
                <w:lang w:eastAsia="en-NZ"/>
              </w:rPr>
              <w:t xml:space="preserve">for </w:t>
            </w:r>
            <w:proofErr w:type="spellStart"/>
            <w:r>
              <w:rPr>
                <w:rFonts w:ascii="Calibri Light" w:eastAsia="Times New Roman" w:hAnsi="Calibri Light" w:cs="Calibri Light"/>
                <w:color w:val="000000"/>
                <w:sz w:val="20"/>
                <w:szCs w:val="20"/>
                <w:lang w:eastAsia="en-NZ"/>
              </w:rPr>
              <w:t>Mokau</w:t>
            </w:r>
            <w:proofErr w:type="spellEnd"/>
            <w:r>
              <w:rPr>
                <w:rFonts w:ascii="Calibri Light" w:eastAsia="Times New Roman" w:hAnsi="Calibri Light" w:cs="Calibri Light"/>
                <w:color w:val="000000"/>
                <w:sz w:val="20"/>
                <w:szCs w:val="20"/>
                <w:lang w:eastAsia="en-NZ"/>
              </w:rPr>
              <w:t xml:space="preserve"> River </w:t>
            </w:r>
            <w:r w:rsidRPr="0030380D">
              <w:rPr>
                <w:rFonts w:ascii="Calibri Light" w:eastAsia="Times New Roman" w:hAnsi="Calibri Light" w:cs="Calibri Light"/>
                <w:color w:val="000000"/>
                <w:sz w:val="20"/>
                <w:szCs w:val="20"/>
                <w:lang w:eastAsia="en-NZ"/>
              </w:rPr>
              <w:t>is 0.0</w:t>
            </w:r>
            <w:r>
              <w:rPr>
                <w:rFonts w:ascii="Calibri Light" w:eastAsia="Times New Roman" w:hAnsi="Calibri Light" w:cs="Calibri Light"/>
                <w:color w:val="000000"/>
                <w:sz w:val="20"/>
                <w:szCs w:val="20"/>
                <w:lang w:eastAsia="en-NZ"/>
              </w:rPr>
              <w:t>09</w:t>
            </w:r>
            <w:r w:rsidRPr="0030380D">
              <w:rPr>
                <w:rFonts w:ascii="Calibri Light" w:eastAsia="Times New Roman" w:hAnsi="Calibri Light" w:cs="Calibri Light"/>
                <w:color w:val="000000"/>
                <w:sz w:val="20"/>
                <w:szCs w:val="20"/>
                <w:lang w:eastAsia="en-NZ"/>
              </w:rPr>
              <w:t xml:space="preserve"> mg P/L. </w:t>
            </w:r>
            <w:r>
              <w:rPr>
                <w:rFonts w:ascii="Calibri Light" w:eastAsia="Times New Roman" w:hAnsi="Calibri Light" w:cs="Calibri Light"/>
                <w:color w:val="000000"/>
                <w:sz w:val="20"/>
                <w:szCs w:val="20"/>
                <w:lang w:eastAsia="en-NZ"/>
              </w:rPr>
              <w:t>C</w:t>
            </w:r>
            <w:r w:rsidRPr="0030380D">
              <w:rPr>
                <w:rFonts w:ascii="Calibri Light" w:eastAsia="Times New Roman" w:hAnsi="Calibri Light" w:cs="Calibri Light"/>
                <w:color w:val="000000"/>
                <w:sz w:val="20"/>
                <w:szCs w:val="20"/>
                <w:lang w:eastAsia="en-NZ"/>
              </w:rPr>
              <w:t xml:space="preserve">oncentrations </w:t>
            </w:r>
            <w:r>
              <w:rPr>
                <w:rFonts w:ascii="Calibri Light" w:eastAsia="Times New Roman" w:hAnsi="Calibri Light" w:cs="Calibri Light"/>
                <w:color w:val="000000"/>
                <w:sz w:val="20"/>
                <w:szCs w:val="20"/>
                <w:lang w:eastAsia="en-NZ"/>
              </w:rPr>
              <w:t>of DRP at Mangaokewa Rd exceed the SC baseline and was significantly higher than any other site in the SC</w:t>
            </w:r>
            <w:r w:rsidRPr="0030380D">
              <w:rPr>
                <w:rFonts w:ascii="Calibri Light" w:eastAsia="Times New Roman" w:hAnsi="Calibri Light" w:cs="Calibri Light"/>
                <w:color w:val="000000"/>
                <w:sz w:val="20"/>
                <w:szCs w:val="20"/>
                <w:lang w:eastAsia="en-NZ"/>
              </w:rPr>
              <w:t>.</w:t>
            </w:r>
          </w:p>
          <w:p w14:paraId="51591F07" w14:textId="19AB9AC2" w:rsidR="00264FA0" w:rsidRPr="0030380D" w:rsidRDefault="00264FA0" w:rsidP="00BD5452">
            <w:pPr>
              <w:spacing w:after="0" w:line="240" w:lineRule="auto"/>
              <w:rPr>
                <w:rFonts w:ascii="Calibri Light" w:eastAsia="Times New Roman" w:hAnsi="Calibri Light" w:cs="Calibri Light"/>
                <w:color w:val="000000"/>
                <w:sz w:val="20"/>
                <w:szCs w:val="20"/>
                <w:lang w:eastAsia="en-NZ"/>
              </w:rPr>
            </w:pPr>
          </w:p>
        </w:tc>
        <w:tc>
          <w:tcPr>
            <w:tcW w:w="0" w:type="auto"/>
            <w:shd w:val="clear" w:color="auto" w:fill="auto"/>
            <w:vAlign w:val="center"/>
          </w:tcPr>
          <w:p w14:paraId="6308378B" w14:textId="4EB6919F"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00860746" w:rsidRPr="00860746">
              <w:rPr>
                <w:rFonts w:ascii="Calibri Light" w:eastAsia="Times New Roman" w:hAnsi="Calibri Light" w:cs="Calibri Light"/>
                <w:color w:val="000000"/>
                <w:sz w:val="20"/>
                <w:szCs w:val="20"/>
                <w:lang w:eastAsia="en-NZ"/>
              </w:rPr>
              <w:t>The high</w:t>
            </w:r>
            <w:r w:rsidR="00860746" w:rsidRPr="00A266F3">
              <w:rPr>
                <w:rFonts w:ascii="Calibri Light" w:eastAsia="Times New Roman" w:hAnsi="Calibri Light" w:cs="Calibri Light"/>
                <w:color w:val="000000"/>
                <w:sz w:val="20"/>
                <w:szCs w:val="20"/>
                <w:lang w:eastAsia="en-NZ"/>
              </w:rPr>
              <w:t>est c</w:t>
            </w:r>
            <w:r w:rsidR="00A642B7" w:rsidRPr="00A266F3">
              <w:rPr>
                <w:rFonts w:ascii="Calibri Light" w:eastAsia="Times New Roman" w:hAnsi="Calibri Light" w:cs="Calibri Light"/>
                <w:color w:val="000000"/>
                <w:sz w:val="20"/>
                <w:szCs w:val="20"/>
                <w:lang w:eastAsia="en-NZ"/>
              </w:rPr>
              <w:t>oncentration</w:t>
            </w:r>
            <w:r w:rsidR="00A266F3" w:rsidRPr="00A266F3">
              <w:rPr>
                <w:rFonts w:ascii="Calibri Light" w:eastAsia="Times New Roman" w:hAnsi="Calibri Light" w:cs="Calibri Light"/>
                <w:color w:val="000000"/>
                <w:sz w:val="20"/>
                <w:szCs w:val="20"/>
                <w:lang w:eastAsia="en-NZ"/>
              </w:rPr>
              <w:t>s</w:t>
            </w:r>
            <w:r w:rsidR="00A266F3">
              <w:rPr>
                <w:rFonts w:ascii="Calibri Light" w:eastAsia="Times New Roman" w:hAnsi="Calibri Light" w:cs="Calibri Light"/>
                <w:color w:val="000000"/>
                <w:sz w:val="20"/>
                <w:szCs w:val="20"/>
                <w:lang w:eastAsia="en-NZ"/>
              </w:rPr>
              <w:t xml:space="preserve"> were</w:t>
            </w:r>
            <w:r w:rsidR="00860746">
              <w:rPr>
                <w:rFonts w:ascii="Calibri Light" w:eastAsia="Times New Roman" w:hAnsi="Calibri Light" w:cs="Calibri Light"/>
                <w:color w:val="000000"/>
                <w:sz w:val="20"/>
                <w:szCs w:val="20"/>
                <w:lang w:eastAsia="en-NZ"/>
              </w:rPr>
              <w:t xml:space="preserve"> measured at site </w:t>
            </w:r>
            <w:r w:rsidR="0059286A" w:rsidRPr="0059286A">
              <w:rPr>
                <w:rFonts w:ascii="Calibri Light" w:eastAsia="Times New Roman" w:hAnsi="Calibri Light" w:cs="Calibri Light"/>
                <w:color w:val="000000"/>
                <w:sz w:val="20"/>
                <w:szCs w:val="20"/>
                <w:u w:val="single"/>
                <w:lang w:eastAsia="en-NZ"/>
              </w:rPr>
              <w:t>Mangaokewa Rd</w:t>
            </w:r>
            <w:r w:rsidR="00A266F3" w:rsidRPr="0059286A">
              <w:rPr>
                <w:rFonts w:ascii="Calibri Light" w:eastAsia="Times New Roman" w:hAnsi="Calibri Light" w:cs="Calibri Light"/>
                <w:color w:val="000000"/>
                <w:sz w:val="20"/>
                <w:szCs w:val="20"/>
                <w:lang w:eastAsia="en-NZ"/>
              </w:rPr>
              <w:t xml:space="preserve"> </w:t>
            </w:r>
            <w:r w:rsidR="00A266F3">
              <w:rPr>
                <w:rFonts w:ascii="Calibri Light" w:eastAsia="Times New Roman" w:hAnsi="Calibri Light" w:cs="Calibri Light"/>
                <w:color w:val="000000"/>
                <w:sz w:val="20"/>
                <w:szCs w:val="20"/>
                <w:lang w:eastAsia="en-NZ"/>
              </w:rPr>
              <w:t>in s</w:t>
            </w:r>
            <w:r w:rsidR="0059286A">
              <w:rPr>
                <w:rFonts w:ascii="Calibri Light" w:eastAsia="Times New Roman" w:hAnsi="Calibri Light" w:cs="Calibri Light"/>
                <w:color w:val="000000"/>
                <w:sz w:val="20"/>
                <w:szCs w:val="20"/>
                <w:lang w:eastAsia="en-NZ"/>
              </w:rPr>
              <w:t xml:space="preserve">ummer followed by </w:t>
            </w:r>
            <w:r w:rsidR="0059286A" w:rsidRPr="0059286A">
              <w:rPr>
                <w:rFonts w:ascii="Calibri Light" w:eastAsia="Times New Roman" w:hAnsi="Calibri Light" w:cs="Calibri Light"/>
                <w:color w:val="000000"/>
                <w:sz w:val="20"/>
                <w:szCs w:val="20"/>
                <w:u w:val="single"/>
                <w:lang w:eastAsia="en-NZ"/>
              </w:rPr>
              <w:t>18-Mangapehi River</w:t>
            </w:r>
            <w:r w:rsidR="0059286A">
              <w:rPr>
                <w:rFonts w:ascii="Calibri Light" w:eastAsia="Times New Roman" w:hAnsi="Calibri Light" w:cs="Calibri Light"/>
                <w:color w:val="000000"/>
                <w:sz w:val="20"/>
                <w:szCs w:val="20"/>
                <w:lang w:eastAsia="en-NZ"/>
              </w:rPr>
              <w:t xml:space="preserve"> in spring and winter</w:t>
            </w:r>
            <w:r w:rsidR="00860746">
              <w:rPr>
                <w:rFonts w:ascii="Calibri Light" w:eastAsia="Times New Roman" w:hAnsi="Calibri Light" w:cs="Calibri Light"/>
                <w:color w:val="000000"/>
                <w:sz w:val="20"/>
                <w:szCs w:val="20"/>
                <w:lang w:eastAsia="en-NZ"/>
              </w:rPr>
              <w:t xml:space="preserve">. </w:t>
            </w:r>
            <w:r w:rsidRPr="00A642B7">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 lowest </w:t>
            </w:r>
            <w:r w:rsidR="00AA6E2C">
              <w:rPr>
                <w:rFonts w:ascii="Calibri Light" w:eastAsia="Times New Roman" w:hAnsi="Calibri Light" w:cs="Calibri Light"/>
                <w:color w:val="000000"/>
                <w:sz w:val="20"/>
                <w:szCs w:val="20"/>
                <w:lang w:eastAsia="en-NZ"/>
              </w:rPr>
              <w:t>concentration</w:t>
            </w:r>
            <w:r w:rsidR="00A266F3">
              <w:rPr>
                <w:rFonts w:ascii="Calibri Light" w:eastAsia="Times New Roman" w:hAnsi="Calibri Light" w:cs="Calibri Light"/>
                <w:color w:val="000000"/>
                <w:sz w:val="20"/>
                <w:szCs w:val="20"/>
                <w:lang w:eastAsia="en-NZ"/>
              </w:rPr>
              <w:t xml:space="preserve"> was measured in </w:t>
            </w:r>
            <w:r w:rsidR="00A266F3" w:rsidRPr="00A266F3">
              <w:rPr>
                <w:rFonts w:ascii="Calibri Light" w:eastAsia="Times New Roman" w:hAnsi="Calibri Light" w:cs="Calibri Light"/>
                <w:color w:val="000000"/>
                <w:sz w:val="20"/>
                <w:szCs w:val="20"/>
                <w:u w:val="single"/>
                <w:lang w:eastAsia="en-NZ"/>
              </w:rPr>
              <w:t>1</w:t>
            </w:r>
            <w:r w:rsidR="0059286A">
              <w:rPr>
                <w:rFonts w:ascii="Calibri Light" w:eastAsia="Times New Roman" w:hAnsi="Calibri Light" w:cs="Calibri Light"/>
                <w:color w:val="000000"/>
                <w:sz w:val="20"/>
                <w:szCs w:val="20"/>
                <w:u w:val="single"/>
                <w:lang w:eastAsia="en-NZ"/>
              </w:rPr>
              <w:t>3</w:t>
            </w:r>
            <w:r w:rsidR="00A266F3" w:rsidRPr="00A266F3">
              <w:rPr>
                <w:rFonts w:ascii="Calibri Light" w:eastAsia="Times New Roman" w:hAnsi="Calibri Light" w:cs="Calibri Light"/>
                <w:color w:val="000000"/>
                <w:sz w:val="20"/>
                <w:szCs w:val="20"/>
                <w:u w:val="single"/>
                <w:lang w:eastAsia="en-NZ"/>
              </w:rPr>
              <w:t>-</w:t>
            </w:r>
            <w:r w:rsidR="0059286A">
              <w:rPr>
                <w:rFonts w:ascii="Calibri Light" w:eastAsia="Times New Roman" w:hAnsi="Calibri Light" w:cs="Calibri Light"/>
                <w:color w:val="000000"/>
                <w:sz w:val="20"/>
                <w:szCs w:val="20"/>
                <w:u w:val="single"/>
                <w:lang w:eastAsia="en-NZ"/>
              </w:rPr>
              <w:t>Mokau River</w:t>
            </w:r>
            <w:r w:rsidR="00A266F3" w:rsidRPr="0012527A">
              <w:rPr>
                <w:rFonts w:ascii="Calibri Light" w:eastAsia="Times New Roman" w:hAnsi="Calibri Light" w:cs="Calibri Light"/>
                <w:color w:val="000000"/>
                <w:sz w:val="20"/>
                <w:szCs w:val="20"/>
                <w:lang w:eastAsia="en-NZ"/>
              </w:rPr>
              <w:t xml:space="preserve"> </w:t>
            </w:r>
            <w:r w:rsidR="00A266F3">
              <w:rPr>
                <w:rFonts w:ascii="Calibri Light" w:eastAsia="Times New Roman" w:hAnsi="Calibri Light" w:cs="Calibri Light"/>
                <w:color w:val="000000"/>
                <w:sz w:val="20"/>
                <w:szCs w:val="20"/>
                <w:lang w:eastAsia="en-NZ"/>
              </w:rPr>
              <w:t xml:space="preserve">in </w:t>
            </w:r>
            <w:r w:rsidR="0059286A">
              <w:rPr>
                <w:rFonts w:ascii="Calibri Light" w:eastAsia="Times New Roman" w:hAnsi="Calibri Light" w:cs="Calibri Light"/>
                <w:color w:val="000000"/>
                <w:sz w:val="20"/>
                <w:szCs w:val="20"/>
                <w:lang w:eastAsia="en-NZ"/>
              </w:rPr>
              <w:t>winter</w:t>
            </w:r>
            <w:r w:rsidR="00A266F3">
              <w:rPr>
                <w:rFonts w:ascii="Calibri Light" w:eastAsia="Times New Roman" w:hAnsi="Calibri Light" w:cs="Calibri Light"/>
                <w:color w:val="000000"/>
                <w:sz w:val="20"/>
                <w:szCs w:val="20"/>
                <w:lang w:eastAsia="en-NZ"/>
              </w:rPr>
              <w:t>.</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039FAEFD" w14:textId="6E057D75" w:rsidR="0059286A" w:rsidRDefault="0059286A" w:rsidP="0059286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DRP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ighest concentration</w:t>
            </w:r>
            <w:r w:rsidR="00D665AC">
              <w:rPr>
                <w:rFonts w:ascii="Calibri Light" w:eastAsia="Times New Roman" w:hAnsi="Calibri Light" w:cs="Calibri Light"/>
                <w:color w:val="000000"/>
                <w:sz w:val="20"/>
                <w:szCs w:val="20"/>
                <w:lang w:eastAsia="en-NZ"/>
              </w:rPr>
              <w:t xml:space="preserve">s were consistently </w:t>
            </w:r>
            <w:r w:rsidRPr="0030380D">
              <w:rPr>
                <w:rFonts w:ascii="Calibri Light" w:eastAsia="Times New Roman" w:hAnsi="Calibri Light" w:cs="Calibri Light"/>
                <w:color w:val="000000"/>
                <w:sz w:val="20"/>
                <w:szCs w:val="20"/>
                <w:lang w:eastAsia="en-NZ"/>
              </w:rPr>
              <w:t>recorded</w:t>
            </w:r>
            <w:r>
              <w:rPr>
                <w:rFonts w:ascii="Calibri Light" w:eastAsia="Times New Roman" w:hAnsi="Calibri Light" w:cs="Calibri Light"/>
                <w:color w:val="000000"/>
                <w:sz w:val="20"/>
                <w:szCs w:val="20"/>
                <w:lang w:eastAsia="en-NZ"/>
              </w:rPr>
              <w:t xml:space="preserve"> at</w:t>
            </w:r>
            <w:r w:rsidRPr="0030380D">
              <w:rPr>
                <w:rFonts w:ascii="Calibri Light" w:eastAsia="Times New Roman" w:hAnsi="Calibri Light" w:cs="Calibri Light"/>
                <w:color w:val="000000"/>
                <w:sz w:val="20"/>
                <w:szCs w:val="20"/>
                <w:lang w:eastAsia="en-NZ"/>
              </w:rPr>
              <w:t xml:space="preserve"> </w:t>
            </w:r>
            <w:r w:rsidR="00D665AC" w:rsidRPr="00D665AC">
              <w:rPr>
                <w:rFonts w:ascii="Calibri Light" w:eastAsia="Times New Roman" w:hAnsi="Calibri Light" w:cs="Calibri Light"/>
                <w:color w:val="000000"/>
                <w:sz w:val="20"/>
                <w:szCs w:val="20"/>
                <w:u w:val="single"/>
                <w:lang w:eastAsia="en-NZ"/>
              </w:rPr>
              <w:t>Mangaokewa Rd</w:t>
            </w:r>
            <w:r w:rsidR="00D665AC" w:rsidRPr="00D665AC">
              <w:rPr>
                <w:rFonts w:ascii="Calibri Light" w:eastAsia="Times New Roman" w:hAnsi="Calibri Light" w:cs="Calibri Light"/>
                <w:color w:val="000000"/>
                <w:sz w:val="20"/>
                <w:szCs w:val="20"/>
                <w:lang w:eastAsia="en-NZ"/>
              </w:rPr>
              <w:t>, peaking in autumn</w:t>
            </w:r>
            <w:r w:rsidRPr="00D665AC">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The l</w:t>
            </w:r>
            <w:r w:rsidRPr="0030380D">
              <w:rPr>
                <w:rFonts w:ascii="Calibri Light" w:eastAsia="Times New Roman" w:hAnsi="Calibri Light" w:cs="Calibri Light"/>
                <w:color w:val="000000"/>
                <w:sz w:val="20"/>
                <w:szCs w:val="20"/>
                <w:lang w:eastAsia="en-NZ"/>
              </w:rPr>
              <w:t>owest concentration</w:t>
            </w:r>
            <w:r w:rsidR="00D665AC">
              <w:rPr>
                <w:rFonts w:ascii="Calibri Light" w:eastAsia="Times New Roman" w:hAnsi="Calibri Light" w:cs="Calibri Light"/>
                <w:color w:val="000000"/>
                <w:sz w:val="20"/>
                <w:szCs w:val="20"/>
                <w:lang w:eastAsia="en-NZ"/>
              </w:rPr>
              <w:t>s</w:t>
            </w:r>
            <w:r>
              <w:rPr>
                <w:rFonts w:ascii="Calibri Light" w:eastAsia="Times New Roman" w:hAnsi="Calibri Light" w:cs="Calibri Light"/>
                <w:color w:val="000000"/>
                <w:sz w:val="20"/>
                <w:szCs w:val="20"/>
                <w:lang w:eastAsia="en-NZ"/>
              </w:rPr>
              <w:t xml:space="preserve"> were </w:t>
            </w:r>
            <w:r w:rsidR="00D665AC">
              <w:rPr>
                <w:rFonts w:ascii="Calibri Light" w:eastAsia="Times New Roman" w:hAnsi="Calibri Light" w:cs="Calibri Light"/>
                <w:color w:val="000000"/>
                <w:sz w:val="20"/>
                <w:szCs w:val="20"/>
                <w:lang w:eastAsia="en-NZ"/>
              </w:rPr>
              <w:t xml:space="preserve">consistently </w:t>
            </w:r>
            <w:r w:rsidRPr="0030380D">
              <w:rPr>
                <w:rFonts w:ascii="Calibri Light" w:eastAsia="Times New Roman" w:hAnsi="Calibri Light" w:cs="Calibri Light"/>
                <w:color w:val="000000"/>
                <w:sz w:val="20"/>
                <w:szCs w:val="20"/>
                <w:lang w:eastAsia="en-NZ"/>
              </w:rPr>
              <w:t xml:space="preserve">recorded </w:t>
            </w:r>
            <w:r>
              <w:rPr>
                <w:rFonts w:ascii="Calibri Light" w:eastAsia="Times New Roman" w:hAnsi="Calibri Light" w:cs="Calibri Light"/>
                <w:color w:val="000000"/>
                <w:sz w:val="20"/>
                <w:szCs w:val="20"/>
                <w:lang w:eastAsia="en-NZ"/>
              </w:rPr>
              <w:t xml:space="preserve">at </w:t>
            </w:r>
            <w:r w:rsidR="00D665AC">
              <w:rPr>
                <w:rFonts w:ascii="Calibri Light" w:eastAsia="Times New Roman" w:hAnsi="Calibri Light" w:cs="Calibri Light"/>
                <w:color w:val="000000"/>
                <w:sz w:val="20"/>
                <w:szCs w:val="20"/>
                <w:lang w:eastAsia="en-NZ"/>
              </w:rPr>
              <w:t>site</w:t>
            </w:r>
            <w:r>
              <w:rPr>
                <w:rFonts w:ascii="Calibri Light" w:eastAsia="Times New Roman" w:hAnsi="Calibri Light" w:cs="Calibri Light"/>
                <w:color w:val="000000"/>
                <w:sz w:val="20"/>
                <w:szCs w:val="20"/>
                <w:u w:val="single"/>
                <w:lang w:eastAsia="en-NZ"/>
              </w:rPr>
              <w:t xml:space="preserve"> 13 in the </w:t>
            </w:r>
            <w:proofErr w:type="spellStart"/>
            <w:r w:rsidRPr="004C0094">
              <w:rPr>
                <w:rFonts w:ascii="Calibri Light" w:eastAsia="Times New Roman" w:hAnsi="Calibri Light" w:cs="Calibri Light"/>
                <w:color w:val="000000"/>
                <w:sz w:val="20"/>
                <w:szCs w:val="20"/>
                <w:u w:val="single"/>
                <w:lang w:eastAsia="en-NZ"/>
              </w:rPr>
              <w:t>Mokau</w:t>
            </w:r>
            <w:proofErr w:type="spellEnd"/>
            <w:r w:rsidRPr="004C0094">
              <w:rPr>
                <w:rFonts w:ascii="Calibri Light" w:eastAsia="Times New Roman" w:hAnsi="Calibri Light" w:cs="Calibri Light"/>
                <w:color w:val="000000"/>
                <w:sz w:val="20"/>
                <w:szCs w:val="20"/>
                <w:u w:val="single"/>
                <w:lang w:eastAsia="en-NZ"/>
              </w:rPr>
              <w:t xml:space="preserve"> River</w:t>
            </w:r>
            <w:r w:rsidR="00D665AC" w:rsidRPr="00D665AC">
              <w:rPr>
                <w:rFonts w:ascii="Calibri Light" w:eastAsia="Times New Roman" w:hAnsi="Calibri Light" w:cs="Calibri Light"/>
                <w:color w:val="000000"/>
                <w:sz w:val="20"/>
                <w:szCs w:val="20"/>
                <w:lang w:eastAsia="en-NZ"/>
              </w:rPr>
              <w:t xml:space="preserve">, with the lowest concentration recorded in </w:t>
            </w:r>
            <w:r w:rsidRPr="00D665AC">
              <w:rPr>
                <w:rFonts w:ascii="Calibri Light" w:eastAsia="Times New Roman" w:hAnsi="Calibri Light" w:cs="Calibri Light"/>
                <w:color w:val="000000"/>
                <w:sz w:val="20"/>
                <w:szCs w:val="20"/>
                <w:lang w:eastAsia="en-NZ"/>
              </w:rPr>
              <w:t>su</w:t>
            </w:r>
            <w:r>
              <w:rPr>
                <w:rFonts w:ascii="Calibri Light" w:eastAsia="Times New Roman" w:hAnsi="Calibri Light" w:cs="Calibri Light"/>
                <w:color w:val="000000"/>
                <w:sz w:val="20"/>
                <w:szCs w:val="20"/>
                <w:lang w:eastAsia="en-NZ"/>
              </w:rPr>
              <w:t xml:space="preserve">mmer. </w:t>
            </w:r>
          </w:p>
          <w:p w14:paraId="51E49227" w14:textId="73E71864" w:rsidR="00E85808" w:rsidRPr="003D5306" w:rsidRDefault="00E85808" w:rsidP="000633BA">
            <w:pPr>
              <w:spacing w:after="0" w:line="240" w:lineRule="auto"/>
              <w:rPr>
                <w:rFonts w:ascii="Calibri Light" w:eastAsia="Times New Roman" w:hAnsi="Calibri Light" w:cs="Calibri Light"/>
                <w:color w:val="000000"/>
                <w:sz w:val="20"/>
                <w:szCs w:val="20"/>
                <w:lang w:eastAsia="en-NZ"/>
              </w:rPr>
            </w:pPr>
          </w:p>
        </w:tc>
      </w:tr>
    </w:tbl>
    <w:p w14:paraId="7E770415" w14:textId="1F87396E" w:rsidR="00B47852" w:rsidRDefault="00B47852"/>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proofErr w:type="spellStart"/>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w:t>
      </w:r>
      <w:proofErr w:type="spellEnd"/>
      <w:r w:rsidR="00342ACA" w:rsidRPr="007B5F8F">
        <w:rPr>
          <w:rFonts w:ascii="Calibri Light" w:eastAsia="Times New Roman" w:hAnsi="Calibri Light" w:cs="Calibri Light"/>
          <w:b/>
          <w:bCs/>
          <w:color w:val="000000"/>
          <w:sz w:val="20"/>
          <w:szCs w:val="20"/>
          <w:lang w:eastAsia="en-NZ"/>
        </w:rPr>
        <w:t xml:space="preserve"> Bottom Lines (NBL)</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 xml:space="preserve">have been assigned </w:t>
      </w:r>
      <w:proofErr w:type="gramStart"/>
      <w:r w:rsidR="00342ACA" w:rsidRPr="003D5306">
        <w:rPr>
          <w:rFonts w:ascii="Calibri Light" w:eastAsia="Times New Roman" w:hAnsi="Calibri Light" w:cs="Calibri Light"/>
          <w:color w:val="000000"/>
          <w:sz w:val="20"/>
          <w:szCs w:val="20"/>
          <w:lang w:eastAsia="en-NZ"/>
        </w:rPr>
        <w:t>on the basis of</w:t>
      </w:r>
      <w:proofErr w:type="gramEnd"/>
      <w:r w:rsidR="00342ACA" w:rsidRPr="003D5306">
        <w:rPr>
          <w:rFonts w:ascii="Calibri Light" w:eastAsia="Times New Roman" w:hAnsi="Calibri Light" w:cs="Calibri Light"/>
          <w:color w:val="000000"/>
          <w:sz w:val="20"/>
          <w:szCs w:val="20"/>
          <w:lang w:eastAsia="en-NZ"/>
        </w:rPr>
        <w:t xml:space="preserve"> ecological impacts to communities. NBL</w:t>
      </w:r>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w:t>
      </w:r>
      <w:proofErr w:type="gramStart"/>
      <w:r w:rsidR="005626DA" w:rsidRPr="005626DA">
        <w:rPr>
          <w:rFonts w:ascii="Calibri Light" w:eastAsia="Times New Roman" w:hAnsi="Calibri Light" w:cs="Calibri Light"/>
          <w:color w:val="000000"/>
          <w:sz w:val="20"/>
          <w:szCs w:val="20"/>
          <w:lang w:eastAsia="en-NZ"/>
        </w:rPr>
        <w:t>harmful in itself</w:t>
      </w:r>
      <w:proofErr w:type="gramEnd"/>
      <w:r w:rsidR="005626DA" w:rsidRPr="005626DA">
        <w:rPr>
          <w:rFonts w:ascii="Calibri Light" w:eastAsia="Times New Roman" w:hAnsi="Calibri Light" w:cs="Calibri Light"/>
          <w:color w:val="000000"/>
          <w:sz w:val="20"/>
          <w:szCs w:val="20"/>
          <w:lang w:eastAsia="en-NZ"/>
        </w:rPr>
        <w:t xml:space="preserve">.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proofErr w:type="spellStart"/>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proofErr w:type="spellEnd"/>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r w:rsidRPr="003D5306">
        <w:rPr>
          <w:rFonts w:ascii="Calibri Light" w:eastAsia="Times New Roman" w:hAnsi="Calibri Light" w:cs="Calibri Light"/>
          <w:color w:val="000000"/>
          <w:sz w:val="20"/>
          <w:szCs w:val="20"/>
          <w:lang w:eastAsia="en-NZ"/>
        </w:rPr>
        <w:t xml:space="preserve">KCRC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4B49B" w14:textId="77777777" w:rsidR="008B1AE0" w:rsidRDefault="008B1AE0" w:rsidP="00815A2A">
      <w:pPr>
        <w:spacing w:after="0" w:line="240" w:lineRule="auto"/>
      </w:pPr>
      <w:r>
        <w:separator/>
      </w:r>
    </w:p>
  </w:endnote>
  <w:endnote w:type="continuationSeparator" w:id="0">
    <w:p w14:paraId="68F639D5" w14:textId="77777777" w:rsidR="008B1AE0" w:rsidRDefault="008B1AE0"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52460"/>
      <w:docPartObj>
        <w:docPartGallery w:val="Page Numbers (Bottom of Page)"/>
        <w:docPartUnique/>
      </w:docPartObj>
    </w:sdtPr>
    <w:sdtEndPr/>
    <w:sdtContent>
      <w:sdt>
        <w:sdtPr>
          <w:id w:val="-1769616900"/>
          <w:docPartObj>
            <w:docPartGallery w:val="Page Numbers (Top of Page)"/>
            <w:docPartUnique/>
          </w:docPartObj>
        </w:sdtPr>
        <w:sdtEnd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1E53D" w14:textId="77777777" w:rsidR="008B1AE0" w:rsidRDefault="008B1AE0" w:rsidP="00815A2A">
      <w:pPr>
        <w:spacing w:after="0" w:line="240" w:lineRule="auto"/>
      </w:pPr>
      <w:r>
        <w:separator/>
      </w:r>
    </w:p>
  </w:footnote>
  <w:footnote w:type="continuationSeparator" w:id="0">
    <w:p w14:paraId="124BDA46" w14:textId="77777777" w:rsidR="008B1AE0" w:rsidRDefault="008B1AE0"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87F7F"/>
    <w:rsid w:val="000A4694"/>
    <w:rsid w:val="000C5430"/>
    <w:rsid w:val="001171AF"/>
    <w:rsid w:val="00124810"/>
    <w:rsid w:val="0012527A"/>
    <w:rsid w:val="001726F0"/>
    <w:rsid w:val="001A3B7F"/>
    <w:rsid w:val="00232131"/>
    <w:rsid w:val="00264FA0"/>
    <w:rsid w:val="002652E4"/>
    <w:rsid w:val="00283D29"/>
    <w:rsid w:val="002A0942"/>
    <w:rsid w:val="002B6CD9"/>
    <w:rsid w:val="00306FB9"/>
    <w:rsid w:val="00342ACA"/>
    <w:rsid w:val="0035628E"/>
    <w:rsid w:val="003C3B6E"/>
    <w:rsid w:val="003D1F19"/>
    <w:rsid w:val="003F2386"/>
    <w:rsid w:val="004667C3"/>
    <w:rsid w:val="00490B1E"/>
    <w:rsid w:val="004C0094"/>
    <w:rsid w:val="004F6349"/>
    <w:rsid w:val="005626DA"/>
    <w:rsid w:val="00575F86"/>
    <w:rsid w:val="0058412B"/>
    <w:rsid w:val="0059286A"/>
    <w:rsid w:val="005972FE"/>
    <w:rsid w:val="005D0503"/>
    <w:rsid w:val="00600E4E"/>
    <w:rsid w:val="00607C39"/>
    <w:rsid w:val="0062615E"/>
    <w:rsid w:val="00655C61"/>
    <w:rsid w:val="006830C6"/>
    <w:rsid w:val="006A2FEE"/>
    <w:rsid w:val="00781C9E"/>
    <w:rsid w:val="007B149D"/>
    <w:rsid w:val="007B5F8F"/>
    <w:rsid w:val="007E4C33"/>
    <w:rsid w:val="00815A2A"/>
    <w:rsid w:val="008371C5"/>
    <w:rsid w:val="00860746"/>
    <w:rsid w:val="008B1AE0"/>
    <w:rsid w:val="00910571"/>
    <w:rsid w:val="009C42C0"/>
    <w:rsid w:val="009F5F82"/>
    <w:rsid w:val="00A02E98"/>
    <w:rsid w:val="00A266F3"/>
    <w:rsid w:val="00A642B7"/>
    <w:rsid w:val="00A65E59"/>
    <w:rsid w:val="00AA6B49"/>
    <w:rsid w:val="00AA6E2C"/>
    <w:rsid w:val="00AF6F6A"/>
    <w:rsid w:val="00B25C67"/>
    <w:rsid w:val="00B47852"/>
    <w:rsid w:val="00B56661"/>
    <w:rsid w:val="00BD5452"/>
    <w:rsid w:val="00C640A6"/>
    <w:rsid w:val="00C76C90"/>
    <w:rsid w:val="00CA70E4"/>
    <w:rsid w:val="00CC0051"/>
    <w:rsid w:val="00CC18FC"/>
    <w:rsid w:val="00CE2775"/>
    <w:rsid w:val="00CF520A"/>
    <w:rsid w:val="00D00282"/>
    <w:rsid w:val="00D665AC"/>
    <w:rsid w:val="00D673F4"/>
    <w:rsid w:val="00D70A6B"/>
    <w:rsid w:val="00D76E45"/>
    <w:rsid w:val="00DD0419"/>
    <w:rsid w:val="00E21108"/>
    <w:rsid w:val="00E62544"/>
    <w:rsid w:val="00E85808"/>
    <w:rsid w:val="00EE1F19"/>
    <w:rsid w:val="00EE2B6F"/>
    <w:rsid w:val="00EE4DB7"/>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A0"/>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Yvette Ronaldson</cp:lastModifiedBy>
  <cp:revision>5</cp:revision>
  <dcterms:created xsi:type="dcterms:W3CDTF">2022-03-13T05:39:00Z</dcterms:created>
  <dcterms:modified xsi:type="dcterms:W3CDTF">2022-09-12T04:45:00Z</dcterms:modified>
</cp:coreProperties>
</file>